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中国共产党浑源县委员会政法委员会</w:t>
      </w:r>
    </w:p>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pStyle w:val="2"/>
      </w:pPr>
    </w:p>
    <w:p>
      <w:pPr>
        <w:pStyle w:val="2"/>
      </w:pPr>
    </w:p>
    <w:p>
      <w:pPr>
        <w:pStyle w:val="2"/>
      </w:pPr>
    </w:p>
    <w:p>
      <w:pPr>
        <w:pStyle w:val="2"/>
      </w:pP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目录</w:t>
      </w: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第一部分 部门及单位概况</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一、部门职责</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二、机构设置</w:t>
      </w: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表一：GK01 收入支出决算总表(公开01表)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表二：GK02 收入决算表(公开02表)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表三：GK03 支出决算表(公开03表)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表十：GK10 部门决算公开相关信息统计表(公开10表)</w:t>
      </w:r>
    </w:p>
    <w:p>
      <w:pPr>
        <w:pStyle w:val="2"/>
        <w:rPr>
          <w:rFonts w:hint="eastAsia"/>
        </w:rPr>
      </w:pP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一、决算收入情况</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二、决算支出情况</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三、“三公”经费情况</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四、机关运行经费情况</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五、政府决算采购情况说明</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六、国有资产占有使用情况</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七、绩效情况说明</w:t>
      </w:r>
    </w:p>
    <w:p>
      <w:pPr>
        <w:pStyle w:val="2"/>
        <w:rPr>
          <w:rFonts w:hint="eastAsia"/>
        </w:rPr>
      </w:pP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第四部分 部门名词解释</w:t>
      </w:r>
    </w:p>
    <w:p>
      <w:pPr>
        <w:pStyle w:val="2"/>
        <w:rPr>
          <w:rFonts w:hint="eastAsia"/>
        </w:rPr>
      </w:pP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内容</w:t>
      </w: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第一部分：中国共产党浑源县委员会政法委员会概况</w:t>
      </w:r>
    </w:p>
    <w:p>
      <w:pPr>
        <w:numPr>
          <w:ilvl w:val="0"/>
          <w:numId w:val="1"/>
        </w:num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部门职责</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深入学习贯彻习近平新时代中国特色社会主义思想，深入贯彻党的路线方针政策和市委政法委及县委的决策部署，统一政法各部门思想和行动，坚持党对政法工作的绝对领导，坚决维护党中央权威和集中统一领导。
</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深入贯彻中央要求和省委、市委、县委决定，对全县政法工作研究提出全局性部署，推进平安浑源、法治浑源建设，加强过硬队伍建设，深化智能化建设，坚决维护国家政治安全、确保社会大局稳定、促进社会公平正义、保障人民安居乐业、服务经济社会发展。
  </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（三）了解掌握和分析研判全县政法工作情况动态，分析社会稳定形势，创新完善多部门参与的综治维稳工作机制，协调推动预防、化解影响稳定的社会矛盾和风险，协调应对和处置重大突发事件。
</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四）负责组织协调、推动和督促各乡镇各有关部门开展社会治安综合治理工作，汇总掌握社会治安综合治理动态，协调处置重大突发事件，研究社会治安综合治理有关重大问题，提出社会治安综合治理工作对策建议等。统筹协调政法机关等部门处理影响社会稳定的重大事项，协调应对和处置重大突发事件，了解掌握和分析研判影响社会稳定的情况动态，预防、化解影响稳定的社会矛盾和风险等。协调指导各乡镇各相关部门做好反邪教工作，分析研判有关情况信息并向县委提出政策建议，协调处置重大突发性事件等。统筹协调社会治安综合治理、维护社会稳定、反邪教有关法律法规政策的实施工作。
  </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（五）组织开展全县政法领域的调查研究，拟订全县政法工作的政策和措施，及时向县委和市委政法委提出建议。</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（六）掌握分析全县政法舆情动态，指导协调政法部门媒体网络宣传工作，指导政法部门做好涉及政法工作的重大宣传工作。</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（七）指导和协调县政法各部门依法行使职权。研究和协调重大、疑难案件，推进严格执法、公正司法。
</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（八）组织研究全县政法改革中带有方向性、倾向性和普遍性的重大问题，深化政法改革。
</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（九）指导推动全县政法系统党的建设和政法队伍建设，统筹推动政治督察和政治轮训。协助县委和县委组织部管理政法干部。管理浑源县法学会。</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（十）完成县委交办的其他任务。</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二、机构设置</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sz w:val="30"/>
          <w:szCs w:val="30"/>
          <w:lang w:val="en-US" w:eastAsia="zh-CN"/>
        </w:rPr>
        <w:t>（一）办公室。协助领导了解掌握全县政法工作全面情况，处理日常工作，提供决策参考。负责内外联系与综合协调工作。督促办理领导批办、会议议定事项的落实。负责起草领导讲话和重要文件。负责机关文电、会务、财务等保障工作。调查研究全县政法工作重大方针政策和关系政法工作全局的重大事项，提出政策建议。指导协调有关调研工作。承担县委关于政法工作的重大决策部署、政法工作新举措新成效、政法系统先进典型的宣传报道工作。协调做好政法领域重大案（事）件的舆论引导工作。</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政工室。研究贯彻县委关于加强政法队伍建设的具体措施，指导全县政法队伍建设。牵头负责政治督察工作。指导政法系统人才队伍建设。配合有关部门办理政法系统功勋荣誉表彰等有关工作。配合县委干部主管部门研究提出政法系统领导班子建设的意见措施。贯彻执行协管政法干部的有关规定，承办有关任免意见征求、集中调整干部方案审批等工作。负责指导组织开展机关、所属单位及政法队伍教育培训工作。</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执法执纪督察室。监督检查政法部门执行党的路线方针政策和国家法律法规的情况，针对突出违法问题组织开展专项检查和专项治理，及时纠正存在的倾向性问题，研究制定相关措施。负责牵头推进司法体制改革相关工作。督促政法部门依法及时办理有重大影响、群众反映强烈的案件。指导政法部门之间相互配合、相互制约和办案协调工作机制，政法部门与有关部门之间案件沟通工作机制。开展案件督办、案件协调、案件评查等工作。督促指导涉法涉诉信访工作。推动政法队伍纪律作风和廉政建设。负责对政法部门依法履行职责、行使职权和纪律作风等方面情况进行督察，发现、掌握政法干警违纪违法线索。</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四）综合治理室（专项行动办公室）。调查分析全县社会治安形势并提出政策建议。承担社会治安综合治理工作的组织协调、督导检查和综合考评。指导协调各乡镇各部门推进扫黑除恶、社会治安重点地区和突出治安问题排查整治、社会治安防控体系建设。协调推动重点领域、行业、物品安全管理。调查研究流动人口、特殊人群和重点青少年群体等服务管理工作有关问题并提出政策建议。协调推动建立覆盖全部实有人口的动态管理体系、特殊人群社会关怀帮扶体系。指导协调预防和减少青少年违法犯罪工作。协调推进基层社会治安综合治理体系建设，推动开展基层平安创建活动。指导协调推动综治中心建设、深化拓展网格化服务管理，完善乡镇、村（社区）综治维稳机制，推动人、财、物保障落实。指导协调公用设施和重要基础设施安全防护、护路护线联防、校园和医院及周边社会治安综合治理工作。指导协调推动“雪亮工程”等社会治安综合治理信息化建设。组织协调矛盾纠纷多元化解工作。贯彻落实县委关于政法工作深化智能化建设的部署和要求，统筹推进全县政法机关信息化、智能化建设工作。负责机关计算机及信息网络维护管理。</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反邪教协调室。调查研究涉邪教问题，了解掌握邪教和对社会有危害气功组织的情况，分析研判形势，提出政策建议。协调推动各相关部门做好反邪教工作，统筹部署开展重大斗争活动。配合政治安全工作协调机制相关牵头单位，指导政法系统加强国家政治安全研究，分析研判政治安全形势，提出工作建议和意见。组织政法系统开展政治安全风险评估和监测预警，督促检查政法等部门做好政治安全风险防控、危机管控。</w:t>
      </w:r>
    </w:p>
    <w:p>
      <w:pPr>
        <w:spacing w:line="360" w:lineRule="auto"/>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六）维稳指导室。负责组织开展调查研究，了解掌握影响社会稳定的情况动态，分析研判社会稳定形势，及时提出对策建议。统筹协调政法等部门处理影响社会稳定的重大事项，推动预防、化解影响稳定的社会矛盾和风险。</w:t>
      </w:r>
    </w:p>
    <w:p>
      <w:pPr>
        <w:pStyle w:val="2"/>
        <w:rPr>
          <w:rFonts w:hint="eastAsia" w:ascii="仿宋" w:hAnsi="仿宋" w:eastAsia="仿宋" w:cs="仿宋"/>
          <w:sz w:val="30"/>
          <w:szCs w:val="30"/>
          <w:lang w:val="en-US" w:eastAsia="zh-CN"/>
        </w:rPr>
      </w:pPr>
    </w:p>
    <w:p>
      <w:pPr>
        <w:pStyle w:val="2"/>
        <w:rPr>
          <w:rFonts w:hint="eastAsia" w:ascii="仿宋" w:hAnsi="仿宋" w:eastAsia="仿宋" w:cs="仿宋"/>
          <w:sz w:val="30"/>
          <w:szCs w:val="30"/>
          <w:lang w:val="en-US" w:eastAsia="zh-CN"/>
        </w:rPr>
      </w:pPr>
    </w:p>
    <w:p>
      <w:pPr>
        <w:pStyle w:val="2"/>
        <w:rPr>
          <w:rFonts w:hint="eastAsia" w:ascii="仿宋" w:hAnsi="仿宋" w:eastAsia="仿宋" w:cs="仿宋"/>
          <w:sz w:val="30"/>
          <w:szCs w:val="30"/>
          <w:lang w:val="en-US" w:eastAsia="zh-CN"/>
        </w:rPr>
      </w:pPr>
    </w:p>
    <w:p>
      <w:pPr>
        <w:pStyle w:val="2"/>
        <w:rPr>
          <w:rFonts w:hint="eastAsia" w:ascii="仿宋" w:hAnsi="仿宋" w:eastAsia="仿宋" w:cs="仿宋"/>
          <w:sz w:val="30"/>
          <w:szCs w:val="30"/>
          <w:lang w:val="en-US" w:eastAsia="zh-CN"/>
        </w:rPr>
      </w:pPr>
    </w:p>
    <w:p>
      <w:pPr>
        <w:pStyle w:val="2"/>
        <w:rPr>
          <w:rFonts w:hint="eastAsia" w:ascii="仿宋" w:hAnsi="仿宋" w:eastAsia="仿宋" w:cs="仿宋"/>
          <w:sz w:val="30"/>
          <w:szCs w:val="30"/>
          <w:lang w:val="en-US" w:eastAsia="zh-CN"/>
        </w:rPr>
      </w:pPr>
    </w:p>
    <w:p>
      <w:pPr>
        <w:pStyle w:val="2"/>
        <w:rPr>
          <w:rFonts w:hint="eastAsia" w:ascii="仿宋" w:hAnsi="仿宋" w:eastAsia="仿宋" w:cs="仿宋"/>
          <w:sz w:val="30"/>
          <w:szCs w:val="30"/>
          <w:lang w:val="en-US" w:eastAsia="zh-CN"/>
        </w:rPr>
      </w:pP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第二部分：2021年度部门决算公开报表</w:t>
      </w:r>
    </w:p>
    <w:p>
      <w:pPr>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附件：大同市中国共产党浑源县委员会政法委员会-2021年度部门决算公开报表.xls</w:t>
      </w:r>
    </w:p>
    <w:p>
      <w:pPr>
        <w:rPr>
          <w:rFonts w:hint="eastAsia" w:ascii="仿宋" w:hAnsi="仿宋" w:eastAsia="仿宋" w:cs="仿宋"/>
          <w:b/>
          <w:color w:val="000000" w:themeColor="text1"/>
          <w:kern w:val="0"/>
          <w:sz w:val="30"/>
          <w:szCs w:val="30"/>
          <w14:textFill>
            <w14:solidFill>
              <w14:schemeClr w14:val="tx1"/>
            </w14:solidFill>
          </w14:textFill>
        </w:rPr>
      </w:pPr>
      <w:r>
        <w:rPr>
          <w:rFonts w:hint="eastAsia" w:ascii="仿宋" w:hAnsi="仿宋" w:eastAsia="仿宋" w:cs="仿宋"/>
          <w:b/>
          <w:color w:val="000000" w:themeColor="text1"/>
          <w:kern w:val="0"/>
          <w:sz w:val="30"/>
          <w:szCs w:val="30"/>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一、决算收入情况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本单位本年度总收入为811.48万元，上年度总收入为436.76万元，增减85.8 %。其中：一般公共预算财政拨款本年度收入为811.48万元，上年度收入为436.76万元，增减85.8 %；政府性基金预算财政拨款本年度收入为0万元，上年度收入为0万元，增减0 %；事业收入本年度收入为0万元，上年度收入为0万元，增减0 %；其他收入本年度收入为0万元，上年度收入为0万元，增减-100%。</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二、决算支出情况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本单位本年度总支出为811.48万元，上年度总支出为436.76万元，增减85.8%。其中：基本支出本年度支出为249.08万元，上年度支出为267.76万元，增减-6.97 %；项目支出本年度支出为562.39万元，上年度支出为169万元，增减232.78 %。</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三、“三公”经费情况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四、机关运行经费情况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本单位本年度机关运行经费总支出为20.67万元，上年度支出为29.01万元，增减-28.74 %；主要为日常办公费、水电、差旅、印刷、委托业务费等费用。</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五、政府决算采购情况说明</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本单位本年度政府采购总价为54.25万元，其中：货物采购54.25万元，工程采购0万元，服务采购0万元。</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六、国有资产占有使用情况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（1）房屋情况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截止2021年12月31日， 我单位产权房屋面积为0平方米，价值0万元。</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（2）车辆情况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单位账面车辆为0辆，价值0万元。</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七、绩效情况说明</w:t>
      </w:r>
    </w:p>
    <w:p>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（1）预算绩效管理工作开展情况。</w:t>
      </w:r>
      <w:bookmarkStart w:id="0" w:name="_GoBack"/>
      <w:bookmarkEnd w:id="0"/>
    </w:p>
    <w:p>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我部门组织对2021年度县级财政预算安排的专项资金类</w:t>
      </w:r>
      <w:r>
        <w:rPr>
          <w:rFonts w:hint="eastAsia" w:ascii="仿宋" w:hAnsi="仿宋" w:eastAsia="仿宋" w:cs="仿宋"/>
          <w:sz w:val="30"/>
          <w:szCs w:val="30"/>
          <w:lang w:val="en-US" w:eastAsia="zh-CN"/>
        </w:rPr>
        <w:t>三</w:t>
      </w:r>
      <w:r>
        <w:rPr>
          <w:rFonts w:hint="eastAsia" w:ascii="仿宋" w:hAnsi="仿宋" w:eastAsia="仿宋" w:cs="仿宋"/>
          <w:sz w:val="30"/>
          <w:szCs w:val="30"/>
        </w:rPr>
        <w:t>个项目支出全面开展</w:t>
      </w:r>
      <w:r>
        <w:rPr>
          <w:rFonts w:hint="eastAsia" w:ascii="仿宋" w:hAnsi="仿宋" w:eastAsia="仿宋" w:cs="仿宋"/>
          <w:b/>
          <w:bCs/>
          <w:sz w:val="30"/>
          <w:szCs w:val="30"/>
        </w:rPr>
        <w:t>绩效自评</w:t>
      </w:r>
      <w:r>
        <w:rPr>
          <w:rFonts w:hint="eastAsia" w:ascii="仿宋" w:hAnsi="仿宋" w:eastAsia="仿宋" w:cs="仿宋"/>
          <w:sz w:val="30"/>
          <w:szCs w:val="30"/>
        </w:rPr>
        <w:t>，涉及预算资金</w:t>
      </w:r>
      <w:r>
        <w:rPr>
          <w:rFonts w:hint="eastAsia" w:ascii="仿宋" w:hAnsi="仿宋" w:eastAsia="仿宋" w:cs="仿宋"/>
          <w:sz w:val="30"/>
          <w:szCs w:val="30"/>
          <w:lang w:val="en-US" w:eastAsia="zh-CN"/>
        </w:rPr>
        <w:t>562.39</w:t>
      </w:r>
      <w:r>
        <w:rPr>
          <w:rFonts w:hint="eastAsia" w:ascii="仿宋" w:hAnsi="仿宋" w:eastAsia="仿宋" w:cs="仿宋"/>
          <w:sz w:val="30"/>
          <w:szCs w:val="30"/>
        </w:rPr>
        <w:t>万元，占一般公共预算项目支出总额的</w:t>
      </w:r>
      <w:r>
        <w:rPr>
          <w:rFonts w:hint="eastAsia" w:ascii="仿宋" w:hAnsi="仿宋" w:eastAsia="仿宋" w:cs="仿宋"/>
          <w:sz w:val="30"/>
          <w:szCs w:val="30"/>
          <w:lang w:val="en-US" w:eastAsia="zh-CN"/>
        </w:rPr>
        <w:t>69</w:t>
      </w:r>
      <w:r>
        <w:rPr>
          <w:rFonts w:hint="eastAsia" w:ascii="仿宋" w:hAnsi="仿宋" w:eastAsia="仿宋" w:cs="仿宋"/>
          <w:sz w:val="30"/>
          <w:szCs w:val="30"/>
        </w:rPr>
        <w:t>%。组织对2021年度</w:t>
      </w:r>
      <w:r>
        <w:rPr>
          <w:rFonts w:hint="eastAsia" w:ascii="仿宋" w:hAnsi="仿宋" w:eastAsia="仿宋" w:cs="仿宋"/>
          <w:sz w:val="30"/>
          <w:szCs w:val="30"/>
          <w:lang w:val="en-US" w:eastAsia="zh-CN"/>
        </w:rPr>
        <w:t>政法委员津贴</w:t>
      </w:r>
      <w:r>
        <w:rPr>
          <w:rFonts w:hint="eastAsia" w:ascii="仿宋" w:hAnsi="仿宋" w:eastAsia="仿宋" w:cs="仿宋"/>
          <w:sz w:val="30"/>
          <w:szCs w:val="30"/>
        </w:rPr>
        <w:t>、</w:t>
      </w:r>
      <w:r>
        <w:rPr>
          <w:rFonts w:hint="eastAsia" w:ascii="仿宋" w:hAnsi="仿宋" w:eastAsia="仿宋" w:cs="仿宋"/>
          <w:sz w:val="30"/>
          <w:szCs w:val="30"/>
          <w:lang w:val="en-US" w:eastAsia="zh-CN"/>
        </w:rPr>
        <w:t>2020年目标责任考核奖励资金、综治及防范工作经费3</w:t>
      </w:r>
      <w:r>
        <w:rPr>
          <w:rFonts w:hint="eastAsia" w:ascii="仿宋" w:hAnsi="仿宋" w:eastAsia="仿宋" w:cs="仿宋"/>
          <w:sz w:val="30"/>
          <w:szCs w:val="30"/>
        </w:rPr>
        <w:t>个政府性基金预算项目支出开展绩效自评，共涉及预算资金</w:t>
      </w:r>
      <w:r>
        <w:rPr>
          <w:rFonts w:hint="eastAsia" w:ascii="仿宋" w:hAnsi="仿宋" w:eastAsia="仿宋" w:cs="仿宋"/>
          <w:sz w:val="30"/>
          <w:szCs w:val="30"/>
          <w:lang w:val="en-US" w:eastAsia="zh-CN"/>
        </w:rPr>
        <w:t>37.42</w:t>
      </w:r>
      <w:r>
        <w:rPr>
          <w:rFonts w:hint="eastAsia" w:ascii="仿宋" w:hAnsi="仿宋" w:eastAsia="仿宋" w:cs="仿宋"/>
          <w:sz w:val="30"/>
          <w:szCs w:val="30"/>
        </w:rPr>
        <w:t>万元，</w:t>
      </w:r>
      <w:r>
        <w:rPr>
          <w:rFonts w:hint="eastAsia" w:ascii="仿宋" w:hAnsi="仿宋" w:eastAsia="仿宋" w:cs="仿宋"/>
          <w:sz w:val="30"/>
          <w:szCs w:val="30"/>
          <w:lang w:val="en-US" w:eastAsia="zh-CN"/>
        </w:rPr>
        <w:t>无</w:t>
      </w:r>
      <w:r>
        <w:rPr>
          <w:rFonts w:hint="eastAsia" w:ascii="仿宋" w:hAnsi="仿宋" w:eastAsia="仿宋" w:cs="仿宋"/>
          <w:sz w:val="30"/>
          <w:szCs w:val="30"/>
        </w:rPr>
        <w:t>政府性基金预算项目支出。</w:t>
      </w:r>
    </w:p>
    <w:p>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（2）部门决算中项目</w:t>
      </w:r>
      <w:r>
        <w:rPr>
          <w:rFonts w:hint="eastAsia" w:ascii="仿宋" w:hAnsi="仿宋" w:eastAsia="仿宋" w:cs="仿宋"/>
          <w:b/>
          <w:bCs/>
          <w:sz w:val="30"/>
          <w:szCs w:val="30"/>
        </w:rPr>
        <w:t>绩效自评</w:t>
      </w:r>
      <w:r>
        <w:rPr>
          <w:rFonts w:hint="eastAsia" w:ascii="仿宋" w:hAnsi="仿宋" w:eastAsia="仿宋" w:cs="仿宋"/>
          <w:sz w:val="30"/>
          <w:szCs w:val="30"/>
        </w:rPr>
        <w:t>结果。</w:t>
      </w:r>
    </w:p>
    <w:p>
      <w:pPr>
        <w:pStyle w:val="2"/>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政法委员津贴</w:t>
      </w:r>
      <w:r>
        <w:rPr>
          <w:rFonts w:hint="eastAsia" w:ascii="仿宋" w:hAnsi="仿宋" w:eastAsia="仿宋" w:cs="仿宋"/>
          <w:sz w:val="30"/>
          <w:szCs w:val="30"/>
        </w:rPr>
        <w:t>项目绩效自评综述：根据年初设定的绩效目标，项目自评得分为</w:t>
      </w:r>
      <w:r>
        <w:rPr>
          <w:rFonts w:hint="eastAsia" w:ascii="仿宋" w:hAnsi="仿宋" w:eastAsia="仿宋" w:cs="仿宋"/>
          <w:sz w:val="30"/>
          <w:szCs w:val="30"/>
          <w:lang w:val="en-US" w:eastAsia="zh-CN"/>
        </w:rPr>
        <w:t>100</w:t>
      </w:r>
      <w:r>
        <w:rPr>
          <w:rFonts w:hint="eastAsia" w:ascii="仿宋" w:hAnsi="仿宋" w:eastAsia="仿宋" w:cs="仿宋"/>
          <w:sz w:val="30"/>
          <w:szCs w:val="30"/>
        </w:rPr>
        <w:t>分（见附件2）。全年预算数为</w:t>
      </w:r>
      <w:r>
        <w:rPr>
          <w:rFonts w:hint="eastAsia" w:ascii="仿宋" w:hAnsi="仿宋" w:eastAsia="仿宋" w:cs="仿宋"/>
          <w:sz w:val="30"/>
          <w:szCs w:val="30"/>
          <w:lang w:val="en-US" w:eastAsia="zh-CN"/>
        </w:rPr>
        <w:t>25.92</w:t>
      </w:r>
      <w:r>
        <w:rPr>
          <w:rFonts w:hint="eastAsia" w:ascii="仿宋" w:hAnsi="仿宋" w:eastAsia="仿宋" w:cs="仿宋"/>
          <w:sz w:val="30"/>
          <w:szCs w:val="30"/>
        </w:rPr>
        <w:t>万元，执行数为</w:t>
      </w:r>
      <w:r>
        <w:rPr>
          <w:rFonts w:hint="eastAsia" w:ascii="仿宋" w:hAnsi="仿宋" w:eastAsia="仿宋" w:cs="仿宋"/>
          <w:sz w:val="30"/>
          <w:szCs w:val="30"/>
          <w:lang w:val="en-US" w:eastAsia="zh-CN"/>
        </w:rPr>
        <w:t>25.92</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%。项目绩效目标完成情况：一是</w:t>
      </w:r>
      <w:r>
        <w:rPr>
          <w:rFonts w:hint="eastAsia" w:ascii="仿宋" w:hAnsi="仿宋" w:eastAsia="仿宋" w:cs="仿宋"/>
          <w:sz w:val="30"/>
          <w:szCs w:val="30"/>
          <w:lang w:val="en-US" w:eastAsia="zh-CN"/>
        </w:rPr>
        <w:t>按时发放</w:t>
      </w:r>
      <w:r>
        <w:rPr>
          <w:rFonts w:hint="eastAsia" w:ascii="仿宋" w:hAnsi="仿宋" w:eastAsia="仿宋" w:cs="仿宋"/>
          <w:sz w:val="30"/>
          <w:szCs w:val="30"/>
        </w:rPr>
        <w:t>；二是</w:t>
      </w:r>
      <w:r>
        <w:rPr>
          <w:rFonts w:hint="eastAsia" w:ascii="仿宋" w:hAnsi="仿宋" w:eastAsia="仿宋" w:cs="仿宋"/>
          <w:sz w:val="30"/>
          <w:szCs w:val="30"/>
          <w:lang w:val="en-US" w:eastAsia="zh-CN"/>
        </w:rPr>
        <w:t>足额发放</w:t>
      </w:r>
      <w:r>
        <w:rPr>
          <w:rFonts w:hint="eastAsia" w:ascii="仿宋" w:hAnsi="仿宋" w:eastAsia="仿宋" w:cs="仿宋"/>
          <w:sz w:val="30"/>
          <w:szCs w:val="30"/>
        </w:rPr>
        <w:t>。</w:t>
      </w:r>
    </w:p>
    <w:p>
      <w:pPr>
        <w:pStyle w:val="2"/>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2020年目标责任考核奖励资金</w:t>
      </w:r>
      <w:r>
        <w:rPr>
          <w:rFonts w:hint="eastAsia" w:ascii="仿宋" w:hAnsi="仿宋" w:eastAsia="仿宋" w:cs="仿宋"/>
          <w:sz w:val="30"/>
          <w:szCs w:val="30"/>
        </w:rPr>
        <w:t>项目绩效自评综述：根据年初设定的绩效目标，项目自评得分为</w:t>
      </w:r>
      <w:r>
        <w:rPr>
          <w:rFonts w:hint="eastAsia" w:ascii="仿宋" w:hAnsi="仿宋" w:eastAsia="仿宋" w:cs="仿宋"/>
          <w:sz w:val="30"/>
          <w:szCs w:val="30"/>
          <w:lang w:val="en-US" w:eastAsia="zh-CN"/>
        </w:rPr>
        <w:t>100</w:t>
      </w:r>
      <w:r>
        <w:rPr>
          <w:rFonts w:hint="eastAsia" w:ascii="仿宋" w:hAnsi="仿宋" w:eastAsia="仿宋" w:cs="仿宋"/>
          <w:sz w:val="30"/>
          <w:szCs w:val="30"/>
        </w:rPr>
        <w:t>分（见附件2）。全年预算数为</w:t>
      </w:r>
      <w:r>
        <w:rPr>
          <w:rFonts w:hint="eastAsia" w:ascii="仿宋" w:hAnsi="仿宋" w:eastAsia="仿宋" w:cs="仿宋"/>
          <w:sz w:val="30"/>
          <w:szCs w:val="30"/>
          <w:lang w:val="en-US" w:eastAsia="zh-CN"/>
        </w:rPr>
        <w:t>1.5</w:t>
      </w:r>
      <w:r>
        <w:rPr>
          <w:rFonts w:hint="eastAsia" w:ascii="仿宋" w:hAnsi="仿宋" w:eastAsia="仿宋" w:cs="仿宋"/>
          <w:sz w:val="30"/>
          <w:szCs w:val="30"/>
        </w:rPr>
        <w:t>万元，执行数为</w:t>
      </w:r>
      <w:r>
        <w:rPr>
          <w:rFonts w:hint="eastAsia" w:ascii="仿宋" w:hAnsi="仿宋" w:eastAsia="仿宋" w:cs="仿宋"/>
          <w:sz w:val="30"/>
          <w:szCs w:val="30"/>
          <w:lang w:val="en-US" w:eastAsia="zh-CN"/>
        </w:rPr>
        <w:t>1.5</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%。项目绩效目标完成情况：一是</w:t>
      </w:r>
      <w:r>
        <w:rPr>
          <w:rFonts w:hint="eastAsia" w:ascii="仿宋" w:hAnsi="仿宋" w:eastAsia="仿宋" w:cs="仿宋"/>
          <w:sz w:val="30"/>
          <w:szCs w:val="30"/>
          <w:lang w:val="en-US" w:eastAsia="zh-CN"/>
        </w:rPr>
        <w:t>按时发放</w:t>
      </w:r>
      <w:r>
        <w:rPr>
          <w:rFonts w:hint="eastAsia" w:ascii="仿宋" w:hAnsi="仿宋" w:eastAsia="仿宋" w:cs="仿宋"/>
          <w:sz w:val="30"/>
          <w:szCs w:val="30"/>
        </w:rPr>
        <w:t>；二是</w:t>
      </w:r>
      <w:r>
        <w:rPr>
          <w:rFonts w:hint="eastAsia" w:ascii="仿宋" w:hAnsi="仿宋" w:eastAsia="仿宋" w:cs="仿宋"/>
          <w:sz w:val="30"/>
          <w:szCs w:val="30"/>
          <w:lang w:val="en-US" w:eastAsia="zh-CN"/>
        </w:rPr>
        <w:t>足额发放</w:t>
      </w:r>
      <w:r>
        <w:rPr>
          <w:rFonts w:hint="eastAsia" w:ascii="仿宋" w:hAnsi="仿宋" w:eastAsia="仿宋" w:cs="仿宋"/>
          <w:sz w:val="30"/>
          <w:szCs w:val="30"/>
        </w:rPr>
        <w:t>。</w:t>
      </w:r>
    </w:p>
    <w:p>
      <w:pPr>
        <w:pStyle w:val="2"/>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综治及防范工作经费</w:t>
      </w:r>
      <w:r>
        <w:rPr>
          <w:rFonts w:hint="eastAsia" w:ascii="仿宋" w:hAnsi="仿宋" w:eastAsia="仿宋" w:cs="仿宋"/>
          <w:sz w:val="30"/>
          <w:szCs w:val="30"/>
        </w:rPr>
        <w:t>项目绩效自评综述：根据年初设定的绩效目标，项目自评得分为</w:t>
      </w:r>
      <w:r>
        <w:rPr>
          <w:rFonts w:hint="eastAsia" w:ascii="仿宋" w:hAnsi="仿宋" w:eastAsia="仿宋" w:cs="仿宋"/>
          <w:sz w:val="30"/>
          <w:szCs w:val="30"/>
          <w:lang w:val="en-US" w:eastAsia="zh-CN"/>
        </w:rPr>
        <w:t>99.7</w:t>
      </w:r>
      <w:r>
        <w:rPr>
          <w:rFonts w:hint="eastAsia" w:ascii="仿宋" w:hAnsi="仿宋" w:eastAsia="仿宋" w:cs="仿宋"/>
          <w:sz w:val="30"/>
          <w:szCs w:val="30"/>
        </w:rPr>
        <w:t>分（见附件2）。全年预算数为</w:t>
      </w:r>
      <w:r>
        <w:rPr>
          <w:rFonts w:hint="eastAsia" w:ascii="仿宋" w:hAnsi="仿宋" w:eastAsia="仿宋" w:cs="仿宋"/>
          <w:sz w:val="30"/>
          <w:szCs w:val="30"/>
          <w:lang w:val="en-US" w:eastAsia="zh-CN"/>
        </w:rPr>
        <w:t>10</w:t>
      </w:r>
      <w:r>
        <w:rPr>
          <w:rFonts w:hint="eastAsia" w:ascii="仿宋" w:hAnsi="仿宋" w:eastAsia="仿宋" w:cs="仿宋"/>
          <w:sz w:val="30"/>
          <w:szCs w:val="30"/>
        </w:rPr>
        <w:t>万元，执行数为</w:t>
      </w:r>
      <w:r>
        <w:rPr>
          <w:rFonts w:hint="eastAsia" w:ascii="仿宋" w:hAnsi="仿宋" w:eastAsia="仿宋" w:cs="仿宋"/>
          <w:sz w:val="30"/>
          <w:szCs w:val="30"/>
          <w:lang w:val="en-US" w:eastAsia="zh-CN"/>
        </w:rPr>
        <w:t>10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%。项目绩效目标完成情况：一是</w:t>
      </w:r>
      <w:r>
        <w:rPr>
          <w:rFonts w:hint="eastAsia" w:ascii="仿宋" w:hAnsi="仿宋" w:eastAsia="仿宋" w:cs="仿宋"/>
          <w:sz w:val="30"/>
          <w:szCs w:val="30"/>
          <w:lang w:val="en-US" w:eastAsia="zh-CN"/>
        </w:rPr>
        <w:t>按年初预算规范资金使用</w:t>
      </w:r>
      <w:r>
        <w:rPr>
          <w:rFonts w:hint="eastAsia" w:ascii="仿宋" w:hAnsi="仿宋" w:eastAsia="仿宋" w:cs="仿宋"/>
          <w:sz w:val="30"/>
          <w:szCs w:val="30"/>
        </w:rPr>
        <w:t>；二是</w:t>
      </w:r>
      <w:r>
        <w:rPr>
          <w:rFonts w:hint="eastAsia" w:ascii="仿宋" w:hAnsi="仿宋" w:eastAsia="仿宋" w:cs="仿宋"/>
          <w:sz w:val="30"/>
          <w:szCs w:val="30"/>
          <w:lang w:val="en-US" w:eastAsia="zh-CN"/>
        </w:rPr>
        <w:t>提高工作效率</w:t>
      </w:r>
      <w:r>
        <w:rPr>
          <w:rFonts w:hint="eastAsia" w:ascii="仿宋" w:hAnsi="仿宋" w:eastAsia="仿宋" w:cs="仿宋"/>
          <w:sz w:val="30"/>
          <w:szCs w:val="30"/>
        </w:rPr>
        <w:t>。发现的主要问题及原因：</w:t>
      </w:r>
      <w:r>
        <w:rPr>
          <w:rFonts w:hint="eastAsia" w:ascii="仿宋" w:hAnsi="仿宋" w:eastAsia="仿宋" w:cs="仿宋"/>
          <w:sz w:val="30"/>
          <w:szCs w:val="30"/>
          <w:lang w:val="en-US" w:eastAsia="zh-CN"/>
        </w:rPr>
        <w:t>对综治工作的群众满意度还有待提高</w:t>
      </w:r>
      <w:r>
        <w:rPr>
          <w:rFonts w:hint="eastAsia" w:ascii="仿宋" w:hAnsi="仿宋" w:eastAsia="仿宋" w:cs="仿宋"/>
          <w:sz w:val="30"/>
          <w:szCs w:val="30"/>
        </w:rPr>
        <w:t>。下一步改进措施：</w:t>
      </w:r>
      <w:r>
        <w:rPr>
          <w:rFonts w:hint="eastAsia" w:ascii="仿宋" w:hAnsi="仿宋" w:eastAsia="仿宋" w:cs="仿宋"/>
          <w:sz w:val="30"/>
          <w:szCs w:val="30"/>
          <w:lang w:val="en-US" w:eastAsia="zh-CN"/>
        </w:rPr>
        <w:t>进一步加强综治工作宣传力度，提高群众对综治工作的知晓率及满意度</w:t>
      </w:r>
      <w:r>
        <w:rPr>
          <w:rFonts w:hint="eastAsia" w:ascii="仿宋" w:hAnsi="仿宋" w:eastAsia="仿宋" w:cs="仿宋"/>
          <w:sz w:val="30"/>
          <w:szCs w:val="30"/>
        </w:rPr>
        <w:t>。</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第四部分 部门名词解释</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一、财政拨款：财政拨款包括一般公共预算财政拨款、政府性基金预算财政拨款和国有资本经营预算财政拨款。</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二、收入</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一级预算单位收到的应拨给下级单位使用的款项，年终决算时尚未拨出的，在编报时列为本单位财政拨款。</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2、上级补助收入：填列事业单位从主管部门和上级单位取得的非财政补助收入。</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4、经营收入：填列事业单位在专业业务活动及其辅助活动之外开展非独立核算经营活动取得的收入。</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5、附属单位上缴收入：填列事业单位附独立核算单位按照有关规定上缴的收入。</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三、支出</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1、基本支出：填列单位为保障机构正常运转、完成日常工作任务而发生的各项支出。</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2、项目支出：填列单位为完成特定的行政工作任务或事业发展目标，在基本支出之外发生的各项支出。</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3、上缴上级支出：填列事业单位按照财政部门和主管部门的规定上缴上级单位的支出。</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4、经营支出：填列事业单位在专业活动及辅助活动之外开展非独立核算经营活动发生的支出。</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5、附属单位补助支出：填列事业单位用财政补助收入之外的收入对附属单位补助发生的支出。</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00"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0"/>
          <w:szCs w:val="30"/>
          <w14:textFill>
            <w14:solidFill>
              <w14:schemeClr w14:val="tx1"/>
            </w14:solidFill>
          </w14:textFill>
        </w:rPr>
      </w:pPr>
    </w:p>
    <w:p>
      <w:pPr>
        <w:rPr>
          <w:rFonts w:hint="eastAsia" w:ascii="仿宋" w:hAnsi="仿宋" w:eastAsia="仿宋" w:cs="仿宋"/>
          <w:color w:val="000000" w:themeColor="text1"/>
          <w:sz w:val="30"/>
          <w:szCs w:val="30"/>
          <w14:textFill>
            <w14:solidFill>
              <w14:schemeClr w14:val="tx1"/>
            </w14:solidFill>
          </w14:textFill>
        </w:rPr>
      </w:pPr>
    </w:p>
    <w:p>
      <w:pPr>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w:t>
      </w:r>
    </w:p>
    <w:p>
      <w:pPr>
        <w:rPr>
          <w:rFonts w:hint="eastAsia" w:ascii="仿宋" w:hAnsi="仿宋" w:eastAsia="仿宋" w:cs="仿宋"/>
          <w:color w:val="000000" w:themeColor="text1"/>
          <w:sz w:val="30"/>
          <w:szCs w:val="30"/>
          <w14:textFill>
            <w14:solidFill>
              <w14:schemeClr w14:val="tx1"/>
            </w14:solidFill>
          </w14:textFill>
        </w:rPr>
      </w:pPr>
    </w:p>
    <w:p>
      <w:pPr>
        <w:rPr>
          <w:rFonts w:hint="eastAsia" w:ascii="仿宋" w:hAnsi="仿宋" w:eastAsia="仿宋" w:cs="仿宋"/>
          <w:color w:val="000000" w:themeColor="text1"/>
          <w:sz w:val="30"/>
          <w:szCs w:val="30"/>
          <w14:textFill>
            <w14:solidFill>
              <w14:schemeClr w14:val="tx1"/>
            </w14:solidFill>
          </w14:textFill>
        </w:rPr>
      </w:pPr>
    </w:p>
    <w:p>
      <w:pPr>
        <w:jc w:val="righ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                                                       中国共产党浑源县委员会政法委员会</w:t>
      </w:r>
    </w:p>
    <w:p>
      <w:pPr>
        <w:ind w:firstLine="8100" w:firstLineChars="2700"/>
        <w:jc w:val="right"/>
        <w:rPr>
          <w:rFonts w:hint="default" w:ascii="仿宋" w:hAnsi="仿宋" w:eastAsia="仿宋" w:cs="仿宋"/>
          <w:color w:val="000000" w:themeColor="text1"/>
          <w:sz w:val="30"/>
          <w:szCs w:val="30"/>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0"/>
          <w:szCs w:val="30"/>
          <w14:textFill>
            <w14:solidFill>
              <w14:schemeClr w14:val="tx1"/>
            </w14:solidFill>
          </w14:textFill>
        </w:rPr>
        <w:t xml:space="preserve"> 2022年7月1</w:t>
      </w:r>
      <w:r>
        <w:rPr>
          <w:rFonts w:hint="eastAsia" w:ascii="仿宋" w:hAnsi="仿宋" w:eastAsia="仿宋" w:cs="仿宋"/>
          <w:color w:val="000000" w:themeColor="text1"/>
          <w:sz w:val="30"/>
          <w:szCs w:val="30"/>
          <w:lang w:val="en-US" w:eastAsia="zh-CN"/>
          <w14:textFill>
            <w14:solidFill>
              <w14:schemeClr w14:val="tx1"/>
            </w14:solidFill>
          </w14:textFill>
        </w:rPr>
        <w:t>5日</w:t>
      </w:r>
    </w:p>
    <w:p>
      <w:pPr>
        <w:pStyle w:val="2"/>
        <w:rPr>
          <w:rFonts w:ascii="仿宋" w:hAnsi="仿宋" w:eastAsia="仿宋" w:cs="仿宋"/>
          <w:sz w:val="32"/>
          <w:szCs w:val="32"/>
          <w:lang w:val="en"/>
        </w:rPr>
      </w:pPr>
    </w:p>
    <w:sectPr>
      <w:headerReference r:id="rId3" w:type="default"/>
      <w:footerReference r:id="rId4" w:type="default"/>
      <w:pgSz w:w="11906" w:h="16838"/>
      <w:pgMar w:top="1440" w:right="1531" w:bottom="1701" w:left="1531"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- 1 -</w:t>
                    </w:r>
                    <w:r>
                      <w:rPr>
                        <w:rFonts w:hint="eastAsia"/>
                        <w:sz w:val="18"/>
                      </w:rPr>
                      <w:fldChar w:fldCharType="end"/>
                    </w:r>
                  </w:p>
                </w:txbxContent>
              </v:textbox>
            </v:shape>
          </w:pict>
        </mc:Fallback>
      </mc:AlternateContent>
    </w:r>
    <w:r>
      <w:rPr>
        <w:rFonts w:ascii="Times New Roman" w:hAnsi="Times New Roman" w:eastAsia="仿宋_GB2312"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矩形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3"/>
                            <w:ind w:firstLine="31680"/>
                            <w:rPr>
                              <w:rFonts w:ascii="仿宋" w:hAnsi="仿宋" w:eastAsia="仿宋" w:cs="仿宋"/>
                            </w:rPr>
                          </w:pPr>
                          <w:r>
                            <w:rPr>
                              <w:rFonts w:hint="eastAsia" w:ascii="仿宋" w:hAnsi="仿宋" w:eastAsia="仿宋" w:cs="仿宋"/>
                              <w:sz w:val="28"/>
                              <w:szCs w:val="28"/>
                            </w:rPr>
                            <w:t>1</w:t>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DmUpPvwEAAIwDAAAOAAAAAAAAAAEAIAAAAB8BAABkcnMvZTJvRG9jLnhtbFBLBQYA&#10;AAAABgAGAFkBAABQBQAAAAA=&#10;">
              <v:fill on="f" focussize="0,0"/>
              <v:stroke on="f"/>
              <v:imagedata o:title=""/>
              <o:lock v:ext="edit" aspectratio="f"/>
              <v:textbox inset="0mm,0mm,0mm,0mm" style="mso-fit-shape-to-text:t;">
                <w:txbxContent>
                  <w:p>
                    <w:pPr>
                      <w:pStyle w:val="3"/>
                      <w:ind w:firstLine="31680"/>
                      <w:rPr>
                        <w:rFonts w:ascii="仿宋" w:hAnsi="仿宋" w:eastAsia="仿宋" w:cs="仿宋"/>
                      </w:rPr>
                    </w:pPr>
                    <w:r>
                      <w:rPr>
                        <w:rFonts w:hint="eastAsia" w:ascii="仿宋" w:hAnsi="仿宋" w:eastAsia="仿宋" w:cs="仿宋"/>
                        <w:sz w:val="28"/>
                        <w:szCs w:val="28"/>
                      </w:rPr>
                      <w:t>1</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16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C7292"/>
    <w:multiLevelType w:val="singleLevel"/>
    <w:tmpl w:val="41CC729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ZDhlOWNhNzBjY2E5ZjQ3ODFkN2E0ODNlNjRiMzIifQ=="/>
  </w:docVars>
  <w:rsids>
    <w:rsidRoot w:val="00BD6678"/>
    <w:rsid w:val="00036228"/>
    <w:rsid w:val="002D1559"/>
    <w:rsid w:val="003273D0"/>
    <w:rsid w:val="00BD6678"/>
    <w:rsid w:val="00E16384"/>
    <w:rsid w:val="00E36C16"/>
    <w:rsid w:val="00F65AF1"/>
    <w:rsid w:val="02AE06A3"/>
    <w:rsid w:val="03904478"/>
    <w:rsid w:val="081B642C"/>
    <w:rsid w:val="0B035F70"/>
    <w:rsid w:val="0B390EBF"/>
    <w:rsid w:val="0D580DAE"/>
    <w:rsid w:val="0EBE391E"/>
    <w:rsid w:val="0EF41FB1"/>
    <w:rsid w:val="0F1C33D2"/>
    <w:rsid w:val="10767396"/>
    <w:rsid w:val="12BA7041"/>
    <w:rsid w:val="13571CAA"/>
    <w:rsid w:val="15A87C21"/>
    <w:rsid w:val="166655F0"/>
    <w:rsid w:val="17AFEF07"/>
    <w:rsid w:val="19C9206D"/>
    <w:rsid w:val="1EE95590"/>
    <w:rsid w:val="20784E0C"/>
    <w:rsid w:val="20EB6B0D"/>
    <w:rsid w:val="24805E6E"/>
    <w:rsid w:val="25CE394A"/>
    <w:rsid w:val="26407A2A"/>
    <w:rsid w:val="28B87098"/>
    <w:rsid w:val="2D66202A"/>
    <w:rsid w:val="2D733D2A"/>
    <w:rsid w:val="2E9C490E"/>
    <w:rsid w:val="2F3D7266"/>
    <w:rsid w:val="316044BA"/>
    <w:rsid w:val="318643BF"/>
    <w:rsid w:val="32171342"/>
    <w:rsid w:val="353C2887"/>
    <w:rsid w:val="35634BFF"/>
    <w:rsid w:val="38B27C3F"/>
    <w:rsid w:val="39DA19AE"/>
    <w:rsid w:val="3A8F1268"/>
    <w:rsid w:val="3CA55B08"/>
    <w:rsid w:val="3EFEE981"/>
    <w:rsid w:val="402E1B2C"/>
    <w:rsid w:val="42C576D4"/>
    <w:rsid w:val="434E62B5"/>
    <w:rsid w:val="448E4488"/>
    <w:rsid w:val="46DD2A06"/>
    <w:rsid w:val="46E96CD8"/>
    <w:rsid w:val="47D519B7"/>
    <w:rsid w:val="48222EB6"/>
    <w:rsid w:val="48FB0CE8"/>
    <w:rsid w:val="49CD78AA"/>
    <w:rsid w:val="4A970829"/>
    <w:rsid w:val="4B3F1092"/>
    <w:rsid w:val="4C62651B"/>
    <w:rsid w:val="4E6C2C85"/>
    <w:rsid w:val="5065096C"/>
    <w:rsid w:val="507E20BC"/>
    <w:rsid w:val="512575CC"/>
    <w:rsid w:val="51F23EE9"/>
    <w:rsid w:val="53184A2D"/>
    <w:rsid w:val="536849A7"/>
    <w:rsid w:val="558F4379"/>
    <w:rsid w:val="5652688A"/>
    <w:rsid w:val="569B60EB"/>
    <w:rsid w:val="59DE14CB"/>
    <w:rsid w:val="5A983A4F"/>
    <w:rsid w:val="5CB85AED"/>
    <w:rsid w:val="5D7A4714"/>
    <w:rsid w:val="5E8E6144"/>
    <w:rsid w:val="5FC90992"/>
    <w:rsid w:val="641A5976"/>
    <w:rsid w:val="66F03E01"/>
    <w:rsid w:val="6BEDA444"/>
    <w:rsid w:val="6DCA5615"/>
    <w:rsid w:val="71283D6D"/>
    <w:rsid w:val="726157B6"/>
    <w:rsid w:val="744F3880"/>
    <w:rsid w:val="79DB4DFD"/>
    <w:rsid w:val="7A742A7A"/>
    <w:rsid w:val="7BEB1CBA"/>
    <w:rsid w:val="7DABDEA5"/>
    <w:rsid w:val="7DD64A7C"/>
    <w:rsid w:val="7F7E092E"/>
    <w:rsid w:val="7FEF0FCD"/>
    <w:rsid w:val="AF85A356"/>
    <w:rsid w:val="E9EDF176"/>
    <w:rsid w:val="F7E02743"/>
    <w:rsid w:val="FFAD8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5158</Words>
  <Characters>5374</Characters>
  <Lines>3</Lines>
  <Paragraphs>1</Paragraphs>
  <TotalTime>8</TotalTime>
  <ScaleCrop>false</ScaleCrop>
  <LinksUpToDate>false</LinksUpToDate>
  <CharactersWithSpaces>5520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2021-09-10T18:47:00Z</dcterms:created>
  <dc:creator>Administrator</dc:creator>
  <cp:lastModifiedBy>Administrator</cp:lastModifiedBy>
  <cp:lastPrinted>2022-06-28T16:44:00Z</cp:lastPrinted>
  <dcterms:modified xsi:type="dcterms:W3CDTF">2022-07-20T07:56:14Z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F6EEF3F6CF834A0983E99008834C6A6D</vt:lpwstr>
  </property>
</Properties>
</file>